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78"/>
        <w:gridCol w:w="5841"/>
        <w:gridCol w:w="3090"/>
      </w:tblGrid>
      <w:tr w:rsidR="00F65A9F" w:rsidTr="00F65A9F">
        <w:trPr>
          <w:tblHeader/>
        </w:trPr>
        <w:tc>
          <w:tcPr>
            <w:tcW w:w="4678" w:type="dxa"/>
            <w:tcBorders>
              <w:top w:val="single" w:sz="4" w:space="0" w:color="auto"/>
              <w:left w:val="single" w:sz="4" w:space="0" w:color="000000"/>
              <w:bottom w:val="single" w:sz="4" w:space="0" w:color="auto"/>
              <w:right w:val="single" w:sz="4" w:space="0" w:color="000000"/>
            </w:tcBorders>
            <w:shd w:val="clear" w:color="auto" w:fill="E7E6E6"/>
            <w:hideMark/>
          </w:tcPr>
          <w:p w:rsidR="00F65A9F" w:rsidRDefault="00F65A9F">
            <w:pPr>
              <w:rPr>
                <w:rFonts w:eastAsia="Times New Roman"/>
                <w:b/>
                <w:sz w:val="20"/>
                <w:szCs w:val="20"/>
              </w:rPr>
            </w:pPr>
            <w:bookmarkStart w:id="0" w:name="_GoBack"/>
            <w:bookmarkEnd w:id="0"/>
            <w:r>
              <w:rPr>
                <w:b/>
              </w:rPr>
              <w:t>GEF Council Comments to the PIF, Dec. 2017</w:t>
            </w:r>
          </w:p>
        </w:tc>
        <w:tc>
          <w:tcPr>
            <w:tcW w:w="5841" w:type="dxa"/>
            <w:tcBorders>
              <w:top w:val="single" w:sz="4" w:space="0" w:color="auto"/>
              <w:left w:val="single" w:sz="4" w:space="0" w:color="000000"/>
              <w:bottom w:val="single" w:sz="4" w:space="0" w:color="auto"/>
              <w:right w:val="single" w:sz="4" w:space="0" w:color="000000"/>
            </w:tcBorders>
            <w:shd w:val="clear" w:color="auto" w:fill="E7E6E6"/>
            <w:hideMark/>
          </w:tcPr>
          <w:p w:rsidR="00F65A9F" w:rsidRDefault="00F65A9F">
            <w:pPr>
              <w:rPr>
                <w:rFonts w:eastAsia="Times New Roman"/>
                <w:b/>
                <w:szCs w:val="20"/>
              </w:rPr>
            </w:pPr>
            <w:r>
              <w:rPr>
                <w:b/>
                <w:szCs w:val="20"/>
              </w:rPr>
              <w:t>Responses</w:t>
            </w:r>
          </w:p>
        </w:tc>
        <w:tc>
          <w:tcPr>
            <w:tcW w:w="3090" w:type="dxa"/>
            <w:tcBorders>
              <w:top w:val="single" w:sz="4" w:space="0" w:color="auto"/>
              <w:left w:val="single" w:sz="4" w:space="0" w:color="000000"/>
              <w:bottom w:val="single" w:sz="4" w:space="0" w:color="auto"/>
              <w:right w:val="single" w:sz="4" w:space="0" w:color="000000"/>
            </w:tcBorders>
            <w:shd w:val="clear" w:color="auto" w:fill="E7E6E6"/>
            <w:hideMark/>
          </w:tcPr>
          <w:p w:rsidR="00F65A9F" w:rsidRDefault="00F65A9F">
            <w:pPr>
              <w:rPr>
                <w:rFonts w:eastAsia="Times New Roman"/>
                <w:b/>
                <w:szCs w:val="20"/>
              </w:rPr>
            </w:pPr>
            <w:r>
              <w:rPr>
                <w:b/>
                <w:szCs w:val="20"/>
              </w:rPr>
              <w:t>Document reference</w:t>
            </w:r>
          </w:p>
        </w:tc>
      </w:tr>
      <w:tr w:rsidR="00F65A9F" w:rsidTr="00F65A9F">
        <w:tc>
          <w:tcPr>
            <w:tcW w:w="4678" w:type="dxa"/>
            <w:tcBorders>
              <w:top w:val="single" w:sz="4" w:space="0" w:color="auto"/>
              <w:left w:val="single" w:sz="4" w:space="0" w:color="000000"/>
              <w:bottom w:val="single" w:sz="4" w:space="0" w:color="auto"/>
              <w:right w:val="single" w:sz="4" w:space="0" w:color="000000"/>
            </w:tcBorders>
            <w:shd w:val="clear" w:color="auto" w:fill="D9D9D9"/>
            <w:hideMark/>
          </w:tcPr>
          <w:p w:rsidR="00F65A9F" w:rsidRDefault="00F65A9F">
            <w:pPr>
              <w:rPr>
                <w:rFonts w:eastAsia="SimSun"/>
                <w:b/>
                <w:i/>
                <w:szCs w:val="22"/>
              </w:rPr>
            </w:pPr>
            <w:r>
              <w:rPr>
                <w:b/>
                <w:i/>
              </w:rPr>
              <w:t>Suggestions for improvements to be made during the drafting of the final project proposal:</w:t>
            </w:r>
          </w:p>
        </w:tc>
        <w:tc>
          <w:tcPr>
            <w:tcW w:w="5841" w:type="dxa"/>
            <w:tcBorders>
              <w:top w:val="single" w:sz="4" w:space="0" w:color="auto"/>
              <w:left w:val="single" w:sz="4" w:space="0" w:color="000000"/>
              <w:bottom w:val="single" w:sz="4" w:space="0" w:color="auto"/>
              <w:right w:val="single" w:sz="4" w:space="0" w:color="000000"/>
            </w:tcBorders>
            <w:shd w:val="clear" w:color="auto" w:fill="D9D9D9"/>
          </w:tcPr>
          <w:p w:rsidR="00F65A9F" w:rsidRDefault="00F65A9F">
            <w:pPr>
              <w:rPr>
                <w:b/>
              </w:rPr>
            </w:pPr>
          </w:p>
        </w:tc>
        <w:tc>
          <w:tcPr>
            <w:tcW w:w="3090" w:type="dxa"/>
            <w:tcBorders>
              <w:top w:val="single" w:sz="4" w:space="0" w:color="auto"/>
              <w:left w:val="single" w:sz="4" w:space="0" w:color="000000"/>
              <w:bottom w:val="single" w:sz="4" w:space="0" w:color="auto"/>
              <w:right w:val="single" w:sz="4" w:space="0" w:color="000000"/>
            </w:tcBorders>
            <w:shd w:val="clear" w:color="auto" w:fill="D9D9D9"/>
          </w:tcPr>
          <w:p w:rsidR="00F65A9F" w:rsidRDefault="00F65A9F">
            <w:pPr>
              <w:rPr>
                <w:b/>
                <w:highlight w:val="yellow"/>
              </w:rPr>
            </w:pPr>
          </w:p>
        </w:tc>
      </w:tr>
      <w:tr w:rsidR="00F65A9F" w:rsidTr="00F65A9F">
        <w:tc>
          <w:tcPr>
            <w:tcW w:w="4678" w:type="dxa"/>
            <w:tcBorders>
              <w:top w:val="single" w:sz="4" w:space="0" w:color="auto"/>
              <w:left w:val="single" w:sz="4" w:space="0" w:color="000000"/>
              <w:bottom w:val="single" w:sz="4" w:space="0" w:color="auto"/>
              <w:right w:val="single" w:sz="4" w:space="0" w:color="000000"/>
            </w:tcBorders>
          </w:tcPr>
          <w:p w:rsidR="00F65A9F" w:rsidRDefault="00F65A9F">
            <w:r>
              <w:t xml:space="preserve">· For better consistency, names and terms used should be </w:t>
            </w:r>
            <w:proofErr w:type="spellStart"/>
            <w:r>
              <w:t>harmonised</w:t>
            </w:r>
            <w:proofErr w:type="spellEnd"/>
            <w:r>
              <w:t>, i.e. the name used for Ministry of Agriculture (both MINADER and MINAGRI appear) and the translation of the 2004 LOTU Law, referred to as Land-Use Management Law (page 6, point 13) and as Land Use Planning and Urban Development Law (page 10, point 47).</w:t>
            </w:r>
          </w:p>
          <w:p w:rsidR="00F65A9F" w:rsidRDefault="00F65A9F"/>
        </w:tc>
        <w:tc>
          <w:tcPr>
            <w:tcW w:w="5841" w:type="dxa"/>
            <w:tcBorders>
              <w:top w:val="single" w:sz="4" w:space="0" w:color="auto"/>
              <w:left w:val="single" w:sz="4" w:space="0" w:color="000000"/>
              <w:bottom w:val="single" w:sz="4" w:space="0" w:color="auto"/>
              <w:right w:val="single" w:sz="4" w:space="0" w:color="000000"/>
            </w:tcBorders>
          </w:tcPr>
          <w:p w:rsidR="00F65A9F" w:rsidRDefault="00F65A9F">
            <w:r>
              <w:t>a) The (often changing) names of national entities have been updated and harmonized.</w:t>
            </w:r>
          </w:p>
          <w:p w:rsidR="00F65A9F" w:rsidRDefault="00F65A9F"/>
          <w:p w:rsidR="00F65A9F" w:rsidRDefault="00F65A9F">
            <w:r>
              <w:t>b) the name of the LOTU law has been harmonized. It always appears as “LOTU”, sometimes accompanied by “Spatial Planning Law” as a reminder of what the LOTU is.</w:t>
            </w:r>
          </w:p>
          <w:p w:rsidR="00F65A9F" w:rsidRDefault="00F65A9F"/>
        </w:tc>
        <w:tc>
          <w:tcPr>
            <w:tcW w:w="3090" w:type="dxa"/>
            <w:tcBorders>
              <w:top w:val="single" w:sz="4" w:space="0" w:color="auto"/>
              <w:left w:val="single" w:sz="4" w:space="0" w:color="000000"/>
              <w:bottom w:val="single" w:sz="4" w:space="0" w:color="auto"/>
              <w:right w:val="single" w:sz="4" w:space="0" w:color="000000"/>
            </w:tcBorders>
            <w:hideMark/>
          </w:tcPr>
          <w:p w:rsidR="00F65A9F" w:rsidRDefault="00F65A9F">
            <w:r>
              <w:t xml:space="preserve">See </w:t>
            </w:r>
            <w:r>
              <w:rPr>
                <w:color w:val="FF0000"/>
                <w:u w:val="single"/>
              </w:rPr>
              <w:t xml:space="preserve">PRODOC Acronyms. </w:t>
            </w:r>
          </w:p>
        </w:tc>
      </w:tr>
      <w:tr w:rsidR="00F65A9F" w:rsidTr="00F65A9F">
        <w:tc>
          <w:tcPr>
            <w:tcW w:w="4678" w:type="dxa"/>
            <w:tcBorders>
              <w:top w:val="single" w:sz="4" w:space="0" w:color="auto"/>
              <w:left w:val="single" w:sz="4" w:space="0" w:color="000000"/>
              <w:bottom w:val="single" w:sz="4" w:space="0" w:color="auto"/>
              <w:right w:val="single" w:sz="4" w:space="0" w:color="000000"/>
            </w:tcBorders>
          </w:tcPr>
          <w:p w:rsidR="00F65A9F" w:rsidRDefault="00F65A9F">
            <w:r>
              <w:t>· There is need to ensure adequate co-financing before approving the PIF: Confirm 5 million USD under sources of co-financing (from multi-lateral partners, still under negotiation).</w:t>
            </w:r>
          </w:p>
          <w:p w:rsidR="00F65A9F" w:rsidRDefault="00F65A9F"/>
        </w:tc>
        <w:tc>
          <w:tcPr>
            <w:tcW w:w="5841" w:type="dxa"/>
            <w:tcBorders>
              <w:top w:val="single" w:sz="4" w:space="0" w:color="auto"/>
              <w:left w:val="single" w:sz="4" w:space="0" w:color="000000"/>
              <w:bottom w:val="single" w:sz="4" w:space="0" w:color="auto"/>
              <w:right w:val="single" w:sz="4" w:space="0" w:color="000000"/>
            </w:tcBorders>
            <w:hideMark/>
          </w:tcPr>
          <w:p w:rsidR="00F65A9F" w:rsidRDefault="00F65A9F">
            <w:r>
              <w:t>Co-financing has been ensured.</w:t>
            </w:r>
          </w:p>
        </w:tc>
        <w:tc>
          <w:tcPr>
            <w:tcW w:w="3090" w:type="dxa"/>
            <w:tcBorders>
              <w:top w:val="single" w:sz="4" w:space="0" w:color="auto"/>
              <w:left w:val="single" w:sz="4" w:space="0" w:color="000000"/>
              <w:bottom w:val="single" w:sz="4" w:space="0" w:color="auto"/>
              <w:right w:val="single" w:sz="4" w:space="0" w:color="000000"/>
            </w:tcBorders>
            <w:hideMark/>
          </w:tcPr>
          <w:p w:rsidR="00F65A9F" w:rsidRDefault="00F65A9F">
            <w:r>
              <w:t xml:space="preserve">CEO Endorsement Request, Part I, </w:t>
            </w:r>
            <w:r>
              <w:rPr>
                <w:u w:val="single"/>
              </w:rPr>
              <w:t>Table C</w:t>
            </w:r>
            <w:r>
              <w:t>. Confirmed sources of co-financing for the project by name and by type</w:t>
            </w:r>
          </w:p>
        </w:tc>
      </w:tr>
      <w:tr w:rsidR="00F65A9F" w:rsidTr="00F65A9F">
        <w:tc>
          <w:tcPr>
            <w:tcW w:w="4678" w:type="dxa"/>
            <w:tcBorders>
              <w:top w:val="single" w:sz="4" w:space="0" w:color="auto"/>
              <w:left w:val="single" w:sz="4" w:space="0" w:color="000000"/>
              <w:bottom w:val="single" w:sz="4" w:space="0" w:color="auto"/>
              <w:right w:val="single" w:sz="4" w:space="0" w:color="000000"/>
            </w:tcBorders>
          </w:tcPr>
          <w:p w:rsidR="00F65A9F" w:rsidRDefault="00F65A9F">
            <w:r>
              <w:t>· Page 10, §51: Reference could be made here to the SDGs: Angola adopted the UN Sustainable Development Goals in 2015, whereas SDG 15.9 stipulates that: “by 2020, ecosystems and biodiversity values are integrated into national and local planning, development processes and poverty reduction strategies, and accounts”.</w:t>
            </w:r>
          </w:p>
          <w:p w:rsidR="00F65A9F" w:rsidRDefault="00F65A9F"/>
        </w:tc>
        <w:tc>
          <w:tcPr>
            <w:tcW w:w="5841" w:type="dxa"/>
            <w:tcBorders>
              <w:top w:val="single" w:sz="4" w:space="0" w:color="auto"/>
              <w:left w:val="single" w:sz="4" w:space="0" w:color="000000"/>
              <w:bottom w:val="single" w:sz="4" w:space="0" w:color="auto"/>
              <w:right w:val="single" w:sz="4" w:space="0" w:color="000000"/>
            </w:tcBorders>
          </w:tcPr>
          <w:p w:rsidR="00F65A9F" w:rsidRDefault="00F65A9F">
            <w:r>
              <w:t>Reference is made to the SDGs, mainly in relation to LDN (Target 15.3.).</w:t>
            </w:r>
          </w:p>
          <w:p w:rsidR="00F65A9F" w:rsidRDefault="00F65A9F"/>
          <w:p w:rsidR="00F65A9F" w:rsidRDefault="00F65A9F">
            <w:pPr>
              <w:rPr>
                <w:color w:val="FF0000"/>
              </w:rPr>
            </w:pPr>
            <w:r>
              <w:t xml:space="preserve">SGDs are also mentioned in the baseline assessment of national context of LD. See </w:t>
            </w:r>
            <w:r>
              <w:rPr>
                <w:color w:val="FF0000"/>
              </w:rPr>
              <w:t>PRODOC Section 1.1.1 The National Context</w:t>
            </w:r>
          </w:p>
          <w:p w:rsidR="00F65A9F" w:rsidRDefault="00F65A9F"/>
        </w:tc>
        <w:tc>
          <w:tcPr>
            <w:tcW w:w="3090" w:type="dxa"/>
            <w:tcBorders>
              <w:top w:val="single" w:sz="4" w:space="0" w:color="auto"/>
              <w:left w:val="single" w:sz="4" w:space="0" w:color="000000"/>
              <w:bottom w:val="single" w:sz="4" w:space="0" w:color="auto"/>
              <w:right w:val="single" w:sz="4" w:space="0" w:color="000000"/>
            </w:tcBorders>
          </w:tcPr>
          <w:p w:rsidR="00F65A9F" w:rsidRDefault="00F65A9F">
            <w:pPr>
              <w:rPr>
                <w:color w:val="FF0000"/>
                <w:szCs w:val="20"/>
              </w:rPr>
            </w:pPr>
            <w:r>
              <w:rPr>
                <w:color w:val="FF0000"/>
                <w:szCs w:val="20"/>
              </w:rPr>
              <w:t xml:space="preserve">PRODOC Section </w:t>
            </w:r>
          </w:p>
          <w:p w:rsidR="00F65A9F" w:rsidRDefault="00F65A9F">
            <w:pPr>
              <w:rPr>
                <w:color w:val="FF0000"/>
                <w:szCs w:val="20"/>
              </w:rPr>
            </w:pPr>
            <w:r>
              <w:rPr>
                <w:color w:val="FF0000"/>
                <w:szCs w:val="20"/>
              </w:rPr>
              <w:t xml:space="preserve">1.1) PROJECT CONTEXT / </w:t>
            </w:r>
          </w:p>
          <w:p w:rsidR="00F65A9F" w:rsidRDefault="00F65A9F">
            <w:pPr>
              <w:rPr>
                <w:color w:val="FF0000"/>
                <w:szCs w:val="20"/>
              </w:rPr>
            </w:pPr>
            <w:r>
              <w:rPr>
                <w:color w:val="FF0000"/>
                <w:szCs w:val="20"/>
              </w:rPr>
              <w:t>1.1.1 The national context /</w:t>
            </w:r>
          </w:p>
          <w:p w:rsidR="00F65A9F" w:rsidRDefault="00F65A9F">
            <w:pPr>
              <w:rPr>
                <w:color w:val="FF0000"/>
                <w:szCs w:val="20"/>
              </w:rPr>
            </w:pPr>
            <w:r>
              <w:rPr>
                <w:color w:val="FF0000"/>
                <w:szCs w:val="20"/>
              </w:rPr>
              <w:t>General Context of Land Degradation in Angola</w:t>
            </w:r>
          </w:p>
          <w:p w:rsidR="00F65A9F" w:rsidRDefault="00F65A9F">
            <w:pPr>
              <w:rPr>
                <w:szCs w:val="22"/>
                <w:highlight w:val="yellow"/>
              </w:rPr>
            </w:pPr>
          </w:p>
        </w:tc>
      </w:tr>
      <w:tr w:rsidR="00F65A9F" w:rsidTr="00F65A9F">
        <w:tc>
          <w:tcPr>
            <w:tcW w:w="4678" w:type="dxa"/>
            <w:tcBorders>
              <w:top w:val="single" w:sz="4" w:space="0" w:color="auto"/>
              <w:left w:val="single" w:sz="4" w:space="0" w:color="000000"/>
              <w:bottom w:val="single" w:sz="4" w:space="0" w:color="auto"/>
              <w:right w:val="single" w:sz="4" w:space="0" w:color="000000"/>
            </w:tcBorders>
            <w:hideMark/>
          </w:tcPr>
          <w:p w:rsidR="00F65A9F" w:rsidRDefault="00F65A9F">
            <w:r>
              <w:t xml:space="preserve">· Page 12, §61-65: Component 1 on agro-ecological zoning (AEZ) focusses on capacity building of MINAMB staff on AEZ, but does not include the wider application of AEZ for </w:t>
            </w:r>
            <w:r>
              <w:lastRenderedPageBreak/>
              <w:t>land-use planning in inter-sectoral planning processes. As outlined in §12, several Ministries are involved in land management and land use planning, i.e. Ministry of Agriculture, Ministry of Territorial Administration (MAT) and Ministry of Urban Development and Housing (MUH), with a recently created National Institute of Territorial Planning and Urban Development (INOTU) under MAT. The component should therefore also include the following activity: Enhance inter-ministerial exchange and coordination on how data and information on AEZ can be used for wider land use planning purposes (could be added to §61). Beneficiaries of trainings should furthermore not be limited to MINAMB staff.</w:t>
            </w:r>
          </w:p>
        </w:tc>
        <w:tc>
          <w:tcPr>
            <w:tcW w:w="5841" w:type="dxa"/>
            <w:tcBorders>
              <w:top w:val="single" w:sz="4" w:space="0" w:color="auto"/>
              <w:left w:val="single" w:sz="4" w:space="0" w:color="000000"/>
              <w:bottom w:val="single" w:sz="4" w:space="0" w:color="auto"/>
              <w:right w:val="single" w:sz="4" w:space="0" w:color="000000"/>
            </w:tcBorders>
          </w:tcPr>
          <w:p w:rsidR="00F65A9F" w:rsidRDefault="00F65A9F">
            <w:r>
              <w:lastRenderedPageBreak/>
              <w:t>a) The SLM plans proposed in this project will provide community-level plans that, in close articulation with the INOTU, are to become integrated in the country’s planning system.</w:t>
            </w:r>
          </w:p>
          <w:p w:rsidR="00F65A9F" w:rsidRDefault="00F65A9F"/>
          <w:p w:rsidR="00F65A9F" w:rsidRDefault="00F65A9F">
            <w:r>
              <w:t>b) Activities under Component 1 also foresee the establishment of partnerships with GSA (under MINAGRIF), INAMET (under MTTI) and IGCA (under MINOTH) for joint sharing and monitoring of AEZ-relevant data.</w:t>
            </w:r>
          </w:p>
          <w:p w:rsidR="00F65A9F" w:rsidRDefault="00F65A9F"/>
          <w:p w:rsidR="00F65A9F" w:rsidRDefault="00F65A9F">
            <w:r>
              <w:t xml:space="preserve">c) Active cooperation between MINAMB and MINAGRIF is a central element in the project’s strategy and proposed implementation arrangements reflect this. </w:t>
            </w:r>
          </w:p>
          <w:p w:rsidR="00F65A9F" w:rsidRDefault="00F65A9F"/>
          <w:p w:rsidR="00F65A9F" w:rsidRDefault="00F65A9F">
            <w:r>
              <w:t>d) Capacity building strategies (including training programs) under all three technical components target staff form both MINAMB and MINAGRIF.</w:t>
            </w:r>
          </w:p>
          <w:p w:rsidR="00F65A9F" w:rsidRDefault="00F65A9F"/>
        </w:tc>
        <w:tc>
          <w:tcPr>
            <w:tcW w:w="3090" w:type="dxa"/>
            <w:tcBorders>
              <w:top w:val="single" w:sz="4" w:space="0" w:color="auto"/>
              <w:left w:val="single" w:sz="4" w:space="0" w:color="000000"/>
              <w:bottom w:val="single" w:sz="4" w:space="0" w:color="auto"/>
              <w:right w:val="single" w:sz="4" w:space="0" w:color="000000"/>
            </w:tcBorders>
          </w:tcPr>
          <w:p w:rsidR="00F65A9F" w:rsidRDefault="00F65A9F">
            <w:r>
              <w:lastRenderedPageBreak/>
              <w:t xml:space="preserve">a) See </w:t>
            </w:r>
            <w:r>
              <w:rPr>
                <w:color w:val="FF0000"/>
                <w:u w:val="single"/>
              </w:rPr>
              <w:t xml:space="preserve">PRODOC Box 5. </w:t>
            </w:r>
            <w:r>
              <w:rPr>
                <w:color w:val="FF0000"/>
              </w:rPr>
              <w:t xml:space="preserve">Notes on SLM entry points into the national system of </w:t>
            </w:r>
            <w:r>
              <w:rPr>
                <w:color w:val="FF0000"/>
              </w:rPr>
              <w:lastRenderedPageBreak/>
              <w:t>spatial planning and extension</w:t>
            </w:r>
            <w:r>
              <w:t xml:space="preserve"> </w:t>
            </w:r>
          </w:p>
          <w:p w:rsidR="00F65A9F" w:rsidRDefault="00F65A9F"/>
          <w:p w:rsidR="00F65A9F" w:rsidRDefault="00F65A9F">
            <w:r>
              <w:t xml:space="preserve">b) See </w:t>
            </w:r>
            <w:r>
              <w:rPr>
                <w:color w:val="FF0000"/>
                <w:u w:val="single"/>
              </w:rPr>
              <w:t>PRODOC Appendix III</w:t>
            </w:r>
            <w:r>
              <w:t xml:space="preserve"> for the Project’s work plan</w:t>
            </w:r>
          </w:p>
          <w:p w:rsidR="00F65A9F" w:rsidRDefault="00F65A9F"/>
          <w:p w:rsidR="00F65A9F" w:rsidRDefault="00F65A9F"/>
          <w:p w:rsidR="00F65A9F" w:rsidRDefault="00F65A9F">
            <w:r>
              <w:t xml:space="preserve">c) see </w:t>
            </w:r>
            <w:r>
              <w:rPr>
                <w:color w:val="FF0000"/>
              </w:rPr>
              <w:t>PRODOC Section 2.1</w:t>
            </w:r>
            <w:r>
              <w:t xml:space="preserve"> – Implementation Arrangements</w:t>
            </w:r>
          </w:p>
          <w:p w:rsidR="00F65A9F" w:rsidRDefault="00F65A9F"/>
          <w:p w:rsidR="00F65A9F" w:rsidRDefault="00F65A9F"/>
          <w:p w:rsidR="00F65A9F" w:rsidRDefault="00F65A9F">
            <w:pPr>
              <w:rPr>
                <w:highlight w:val="yellow"/>
              </w:rPr>
            </w:pPr>
            <w:r>
              <w:t xml:space="preserve">d) See, for example, </w:t>
            </w:r>
            <w:r>
              <w:rPr>
                <w:color w:val="FF0000"/>
                <w:u w:val="single"/>
              </w:rPr>
              <w:t>PRODOC Appendix I</w:t>
            </w:r>
            <w:r>
              <w:t xml:space="preserve">, the Logical Framework Matrix (also reproduced in the CEO Endorsement Request </w:t>
            </w:r>
            <w:r>
              <w:rPr>
                <w:u w:val="single"/>
              </w:rPr>
              <w:t>ANNEX A</w:t>
            </w:r>
            <w:r>
              <w:t>)</w:t>
            </w:r>
          </w:p>
        </w:tc>
      </w:tr>
      <w:tr w:rsidR="00F65A9F" w:rsidTr="00F65A9F">
        <w:tc>
          <w:tcPr>
            <w:tcW w:w="4678" w:type="dxa"/>
            <w:tcBorders>
              <w:top w:val="single" w:sz="4" w:space="0" w:color="auto"/>
              <w:left w:val="single" w:sz="4" w:space="0" w:color="000000"/>
              <w:bottom w:val="single" w:sz="4" w:space="0" w:color="auto"/>
              <w:right w:val="single" w:sz="4" w:space="0" w:color="000000"/>
            </w:tcBorders>
          </w:tcPr>
          <w:p w:rsidR="00F65A9F" w:rsidRDefault="00F65A9F">
            <w:r>
              <w:lastRenderedPageBreak/>
              <w:t>· Page 12, §61-65: In line with output number 1.3 on LDN indicator monitoring, the same section should include reference to the LDN target setting and monitoring process as follows: The activities will directly contribute to the LDN target setting and monitoring process (this could be added to §64).</w:t>
            </w:r>
          </w:p>
          <w:p w:rsidR="00F65A9F" w:rsidRDefault="00F65A9F"/>
        </w:tc>
        <w:tc>
          <w:tcPr>
            <w:tcW w:w="5841" w:type="dxa"/>
            <w:tcBorders>
              <w:top w:val="single" w:sz="4" w:space="0" w:color="auto"/>
              <w:left w:val="single" w:sz="4" w:space="0" w:color="000000"/>
              <w:bottom w:val="single" w:sz="4" w:space="0" w:color="auto"/>
              <w:right w:val="single" w:sz="4" w:space="0" w:color="000000"/>
            </w:tcBorders>
            <w:hideMark/>
          </w:tcPr>
          <w:p w:rsidR="00F65A9F" w:rsidRDefault="00F65A9F">
            <w:r>
              <w:t>While activities under Component 1 will directly contribute to the assessment of and monitoring of LDN indicators / targets, activities under Component 2 will implement practical strategies to meet those targets within demo sites. Activities under Component 3 will contribute to the financial support of SLM-related initiatives that also represent practical progress towards LDN</w:t>
            </w:r>
          </w:p>
        </w:tc>
        <w:tc>
          <w:tcPr>
            <w:tcW w:w="3090" w:type="dxa"/>
            <w:tcBorders>
              <w:top w:val="single" w:sz="4" w:space="0" w:color="auto"/>
              <w:left w:val="single" w:sz="4" w:space="0" w:color="000000"/>
              <w:bottom w:val="single" w:sz="4" w:space="0" w:color="auto"/>
              <w:right w:val="single" w:sz="4" w:space="0" w:color="000000"/>
            </w:tcBorders>
            <w:hideMark/>
          </w:tcPr>
          <w:p w:rsidR="00F65A9F" w:rsidRDefault="00F65A9F">
            <w:pPr>
              <w:rPr>
                <w:highlight w:val="yellow"/>
              </w:rPr>
            </w:pPr>
            <w:r>
              <w:t xml:space="preserve">This is mentioned in various sections of the PRODOC. See, for example, </w:t>
            </w:r>
            <w:r>
              <w:rPr>
                <w:color w:val="FF0000"/>
                <w:u w:val="single"/>
              </w:rPr>
              <w:t>PRODOC Appendix I</w:t>
            </w:r>
            <w:r>
              <w:t>, the Logical Framework Matrix.</w:t>
            </w:r>
          </w:p>
        </w:tc>
      </w:tr>
      <w:tr w:rsidR="00F65A9F" w:rsidTr="00F65A9F">
        <w:tc>
          <w:tcPr>
            <w:tcW w:w="4678" w:type="dxa"/>
            <w:tcBorders>
              <w:top w:val="single" w:sz="4" w:space="0" w:color="auto"/>
              <w:left w:val="single" w:sz="4" w:space="0" w:color="000000"/>
              <w:bottom w:val="single" w:sz="4" w:space="0" w:color="auto"/>
              <w:right w:val="single" w:sz="4" w:space="0" w:color="000000"/>
            </w:tcBorders>
            <w:hideMark/>
          </w:tcPr>
          <w:p w:rsidR="00F65A9F" w:rsidRDefault="00F65A9F">
            <w:r>
              <w:t xml:space="preserve">- Page 17, §94: The German Federal Ministry for Economic Cooperation and Development ended Technical Cooperation with Angola in 2013. Cooperation could however be established with the GIZ-hosted global </w:t>
            </w:r>
            <w:r>
              <w:lastRenderedPageBreak/>
              <w:t>“Economics of Land Degradation Initiative” for Component/Outcome 3 (Economic analysis).</w:t>
            </w:r>
          </w:p>
        </w:tc>
        <w:tc>
          <w:tcPr>
            <w:tcW w:w="5841" w:type="dxa"/>
            <w:tcBorders>
              <w:top w:val="single" w:sz="4" w:space="0" w:color="auto"/>
              <w:left w:val="single" w:sz="4" w:space="0" w:color="000000"/>
              <w:bottom w:val="single" w:sz="4" w:space="0" w:color="auto"/>
              <w:right w:val="single" w:sz="4" w:space="0" w:color="000000"/>
            </w:tcBorders>
          </w:tcPr>
          <w:p w:rsidR="00F65A9F" w:rsidRDefault="00F65A9F">
            <w:r>
              <w:lastRenderedPageBreak/>
              <w:t xml:space="preserve">The ELD initiative is included in </w:t>
            </w:r>
            <w:r>
              <w:rPr>
                <w:color w:val="FF0000"/>
                <w:u w:val="single"/>
              </w:rPr>
              <w:t>PRODOC TABLE 16</w:t>
            </w:r>
            <w:r>
              <w:t>, containing relevant past and on-going projects, including GEF funded (synergies, collaboration and lessons)</w:t>
            </w:r>
          </w:p>
          <w:p w:rsidR="00F65A9F" w:rsidRDefault="00F65A9F"/>
          <w:p w:rsidR="00F65A9F" w:rsidRDefault="00F65A9F">
            <w:r>
              <w:t>The following is mentioned:</w:t>
            </w:r>
          </w:p>
          <w:p w:rsidR="00F65A9F" w:rsidRDefault="00F65A9F">
            <w:r>
              <w:lastRenderedPageBreak/>
              <w:t>“ELD an initiative on the economic benefits of land and land based ecosystems.  highlighting the value of sustainable land management and provides a global approach for analysis of the economics of land degradation. It aims to make economics of LD an integral part of policy strategies and decision making by increasing the political and public awareness of the costs and benefits of land and land-based ecosystems.”</w:t>
            </w:r>
          </w:p>
          <w:p w:rsidR="00F65A9F" w:rsidRDefault="00F65A9F"/>
          <w:p w:rsidR="00F65A9F" w:rsidRDefault="00F65A9F">
            <w:r>
              <w:t>... and on the collaboration ...</w:t>
            </w:r>
          </w:p>
          <w:p w:rsidR="00F65A9F" w:rsidRDefault="00F65A9F"/>
          <w:p w:rsidR="00F65A9F" w:rsidRDefault="00F65A9F">
            <w:r>
              <w:t>“Component/Outcome 3: Potential cooperation for training and support framework for the economic analysis of costs associated to land degradation and for the strategies to increase political and stakeholder awareness of the costs of LD and benefits of SLM.”</w:t>
            </w:r>
          </w:p>
          <w:p w:rsidR="00F65A9F" w:rsidRDefault="00F65A9F"/>
        </w:tc>
        <w:tc>
          <w:tcPr>
            <w:tcW w:w="3090" w:type="dxa"/>
            <w:tcBorders>
              <w:top w:val="single" w:sz="4" w:space="0" w:color="auto"/>
              <w:left w:val="single" w:sz="4" w:space="0" w:color="000000"/>
              <w:bottom w:val="single" w:sz="4" w:space="0" w:color="auto"/>
              <w:right w:val="single" w:sz="4" w:space="0" w:color="000000"/>
            </w:tcBorders>
            <w:hideMark/>
          </w:tcPr>
          <w:p w:rsidR="00F65A9F" w:rsidRDefault="00F65A9F">
            <w:pPr>
              <w:rPr>
                <w:highlight w:val="yellow"/>
              </w:rPr>
            </w:pPr>
            <w:r>
              <w:rPr>
                <w:color w:val="FF0000"/>
                <w:u w:val="single"/>
              </w:rPr>
              <w:lastRenderedPageBreak/>
              <w:t>PRODOC Section 1.7.2</w:t>
            </w:r>
            <w:r>
              <w:rPr>
                <w:color w:val="FF0000"/>
              </w:rPr>
              <w:t xml:space="preserve"> Lessons Learned, Table 16</w:t>
            </w:r>
          </w:p>
        </w:tc>
      </w:tr>
      <w:tr w:rsidR="00F65A9F" w:rsidTr="00F65A9F">
        <w:tc>
          <w:tcPr>
            <w:tcW w:w="4678" w:type="dxa"/>
            <w:tcBorders>
              <w:top w:val="single" w:sz="4" w:space="0" w:color="auto"/>
              <w:left w:val="single" w:sz="4" w:space="0" w:color="000000"/>
              <w:bottom w:val="single" w:sz="4" w:space="0" w:color="auto"/>
              <w:right w:val="single" w:sz="4" w:space="0" w:color="000000"/>
            </w:tcBorders>
            <w:hideMark/>
          </w:tcPr>
          <w:p w:rsidR="00F65A9F" w:rsidRDefault="00F65A9F">
            <w:r>
              <w:t>END OF COMMENTS AND RESPONSES</w:t>
            </w:r>
          </w:p>
        </w:tc>
        <w:tc>
          <w:tcPr>
            <w:tcW w:w="5841" w:type="dxa"/>
            <w:tcBorders>
              <w:top w:val="single" w:sz="4" w:space="0" w:color="auto"/>
              <w:left w:val="single" w:sz="4" w:space="0" w:color="000000"/>
              <w:bottom w:val="single" w:sz="4" w:space="0" w:color="auto"/>
              <w:right w:val="single" w:sz="4" w:space="0" w:color="000000"/>
            </w:tcBorders>
            <w:hideMark/>
          </w:tcPr>
          <w:p w:rsidR="00F65A9F" w:rsidRDefault="00F65A9F">
            <w:r>
              <w:t>END OF COMMENTS AND RESPONSES</w:t>
            </w:r>
          </w:p>
        </w:tc>
        <w:tc>
          <w:tcPr>
            <w:tcW w:w="3090" w:type="dxa"/>
            <w:tcBorders>
              <w:top w:val="single" w:sz="4" w:space="0" w:color="auto"/>
              <w:left w:val="single" w:sz="4" w:space="0" w:color="000000"/>
              <w:bottom w:val="single" w:sz="4" w:space="0" w:color="auto"/>
              <w:right w:val="single" w:sz="4" w:space="0" w:color="000000"/>
            </w:tcBorders>
            <w:hideMark/>
          </w:tcPr>
          <w:p w:rsidR="00F65A9F" w:rsidRDefault="00F65A9F">
            <w:r>
              <w:t>//</w:t>
            </w:r>
          </w:p>
        </w:tc>
      </w:tr>
    </w:tbl>
    <w:p w:rsidR="00A61819" w:rsidRDefault="00A61819"/>
    <w:sectPr w:rsidR="00A61819" w:rsidSect="00F65A9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A9F"/>
    <w:rsid w:val="00A61819"/>
    <w:rsid w:val="00B83489"/>
    <w:rsid w:val="00F65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120868-3DD0-42AA-B289-5D4904553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5A9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562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 xsi:nil="true"/>
    <GEFID xmlns="ceb00776-aa5c-4fc8-b6fe-5f035152e4b6">9798</GEFID>
    <ProjectType xmlns="ceb00776-aa5c-4fc8-b6fe-5f035152e4b6">FSP</ProjectType>
    <GEFProjectID xmlns="ceb00776-aa5c-4fc8-b6fe-5f035152e4b6">2ba0696a-df7c-e811-8124-3863bb2e1360</GEFProjectID>
    <DocActive xmlns="ceb00776-aa5c-4fc8-b6fe-5f035152e4b6">No</DocActive>
    <DocCategory xmlns="ceb00776-aa5c-4fc8-b6fe-5f035152e4b6">Other Documents</DocCategory>
    <FocalArea xmlns="ceb00776-aa5c-4fc8-b6fe-5f035152e4b6">Land Degradation</FocalArea>
    <DocType xmlns="ceb00776-aa5c-4fc8-b6fe-5f035152e4b6">Roadmap</DocType>
    <ProjectTitle xmlns="ceb00776-aa5c-4fc8-b6fe-5f035152e4b6">Sustainable Land Management in Target Landscapes in Angola’s Southwestern Region</ProjectTitle>
    <TrustFundType xmlns="ceb00776-aa5c-4fc8-b6fe-5f035152e4b6">GET</TrustFundType>
    <TaxCatchAll xmlns="3e02667f-0271-471b-bd6e-11a2e16def1d"/>
    <DocumentTitle xmlns="ceb00776-aa5c-4fc8-b6fe-5f035152e4b6">Table of Response</DocumentTitle>
  </documentManagement>
</p:properties>
</file>

<file path=customXml/itemProps1.xml><?xml version="1.0" encoding="utf-8"?>
<ds:datastoreItem xmlns:ds="http://schemas.openxmlformats.org/officeDocument/2006/customXml" ds:itemID="{1BCBF8EF-C1F1-40B8-927D-C3BCFDE33010}"/>
</file>

<file path=customXml/itemProps2.xml><?xml version="1.0" encoding="utf-8"?>
<ds:datastoreItem xmlns:ds="http://schemas.openxmlformats.org/officeDocument/2006/customXml" ds:itemID="{1113949A-3401-47B2-A7E3-69B68A51B211}"/>
</file>

<file path=customXml/itemProps3.xml><?xml version="1.0" encoding="utf-8"?>
<ds:datastoreItem xmlns:ds="http://schemas.openxmlformats.org/officeDocument/2006/customXml" ds:itemID="{39E8BEC7-7ACC-44A7-BFD8-B7E63A091BB8}"/>
</file>

<file path=docProps/app.xml><?xml version="1.0" encoding="utf-8"?>
<Properties xmlns="http://schemas.openxmlformats.org/officeDocument/2006/extended-properties" xmlns:vt="http://schemas.openxmlformats.org/officeDocument/2006/docPropsVTypes">
  <Template>Normal.dotm</Template>
  <TotalTime>1</TotalTime>
  <Pages>3</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Boerstler, Fritjof (CBC)</dc:creator>
  <cp:keywords/>
  <dc:description/>
  <cp:lastModifiedBy>Jean-Marc Sinnassamy</cp:lastModifiedBy>
  <cp:revision>2</cp:revision>
  <dcterms:created xsi:type="dcterms:W3CDTF">2019-05-31T14:01:00Z</dcterms:created>
  <dcterms:modified xsi:type="dcterms:W3CDTF">2019-05-31T14:01:00Z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